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3583"/>
        <w:gridCol w:w="7190"/>
      </w:tblGrid>
      <w:tr w:rsidR="00582CA5" w:rsidTr="00582CA5">
        <w:trPr>
          <w:trHeight w:val="1701"/>
          <w:jc w:val="center"/>
        </w:trPr>
        <w:tc>
          <w:tcPr>
            <w:tcW w:w="358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582CA5" w:rsidRPr="00A2572A" w:rsidRDefault="00582CA5" w:rsidP="00846787">
            <w:pPr>
              <w:tabs>
                <w:tab w:val="left" w:pos="6237"/>
              </w:tabs>
              <w:jc w:val="both"/>
              <w:rPr>
                <w:sz w:val="12"/>
                <w:szCs w:val="12"/>
              </w:rPr>
            </w:pPr>
            <w:r w:rsidRPr="00AC320A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276475" cy="10858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2CA5" w:rsidRDefault="00582CA5" w:rsidP="00846787">
            <w:pPr>
              <w:jc w:val="center"/>
              <w:rPr>
                <w:rFonts w:ascii="Arial Narrow" w:hAnsi="Arial Narrow" w:cs="Arial"/>
                <w:b/>
                <w:color w:val="063968"/>
                <w:sz w:val="16"/>
                <w:szCs w:val="16"/>
                <w:u w:val="single"/>
              </w:rPr>
            </w:pPr>
          </w:p>
          <w:p w:rsidR="00582CA5" w:rsidRPr="004B62E9" w:rsidRDefault="00582CA5" w:rsidP="00846787">
            <w:pPr>
              <w:jc w:val="center"/>
              <w:rPr>
                <w:rFonts w:ascii="Arial" w:hAnsi="Arial" w:cs="Arial"/>
                <w:b/>
                <w:color w:val="036694"/>
              </w:rPr>
            </w:pPr>
            <w:r w:rsidRPr="004B62E9">
              <w:rPr>
                <w:rFonts w:ascii="Arial Narrow" w:hAnsi="Arial Narrow" w:cs="Arial"/>
                <w:b/>
                <w:color w:val="063968"/>
                <w:u w:val="single"/>
              </w:rPr>
              <w:t>Président de la CUN-CBG :</w:t>
            </w:r>
            <w:r w:rsidRPr="004B62E9">
              <w:rPr>
                <w:rFonts w:ascii="Arial Narrow" w:hAnsi="Arial Narrow" w:cs="Arial"/>
                <w:b/>
                <w:color w:val="063968"/>
              </w:rPr>
              <w:t xml:space="preserve">    </w:t>
            </w:r>
            <w:r w:rsidRPr="004B62E9">
              <w:rPr>
                <w:rFonts w:ascii="Arial" w:hAnsi="Arial" w:cs="Arial"/>
                <w:b/>
                <w:color w:val="036694"/>
              </w:rPr>
              <w:t>Jean Bernard MOING</w:t>
            </w:r>
            <w:r>
              <w:rPr>
                <w:rFonts w:ascii="Arial" w:hAnsi="Arial" w:cs="Arial"/>
                <w:b/>
                <w:color w:val="036694"/>
              </w:rPr>
              <w:t>S</w:t>
            </w:r>
          </w:p>
          <w:p w:rsidR="00582CA5" w:rsidRPr="004B62E9" w:rsidRDefault="00582CA5" w:rsidP="00846787">
            <w:pPr>
              <w:jc w:val="center"/>
              <w:rPr>
                <w:rFonts w:ascii="Arial" w:hAnsi="Arial" w:cs="Arial"/>
                <w:b/>
                <w:color w:val="036694"/>
              </w:rPr>
            </w:pPr>
          </w:p>
          <w:p w:rsidR="00582CA5" w:rsidRPr="004B62E9" w:rsidRDefault="00582CA5" w:rsidP="00846787">
            <w:pPr>
              <w:jc w:val="center"/>
              <w:rPr>
                <w:rFonts w:ascii="Arial" w:hAnsi="Arial" w:cs="Arial"/>
                <w:b/>
                <w:color w:val="036694"/>
              </w:rPr>
            </w:pPr>
            <w:r w:rsidRPr="004B62E9">
              <w:rPr>
                <w:rFonts w:ascii="Arial" w:hAnsi="Arial" w:cs="Arial"/>
                <w:b/>
                <w:color w:val="036694"/>
              </w:rPr>
              <w:t xml:space="preserve">Rue de la </w:t>
            </w:r>
            <w:proofErr w:type="spellStart"/>
            <w:r w:rsidRPr="004B62E9">
              <w:rPr>
                <w:rFonts w:ascii="Arial" w:hAnsi="Arial" w:cs="Arial"/>
                <w:b/>
                <w:color w:val="036694"/>
              </w:rPr>
              <w:t>Millette</w:t>
            </w:r>
            <w:proofErr w:type="spellEnd"/>
            <w:r w:rsidRPr="004B62E9">
              <w:rPr>
                <w:rFonts w:ascii="Arial" w:hAnsi="Arial" w:cs="Arial"/>
                <w:b/>
                <w:color w:val="036694"/>
              </w:rPr>
              <w:t xml:space="preserve"> 63210 NEBOUZAT</w:t>
            </w:r>
          </w:p>
          <w:p w:rsidR="00582CA5" w:rsidRDefault="00582CA5" w:rsidP="00846787">
            <w:pPr>
              <w:tabs>
                <w:tab w:val="left" w:pos="6237"/>
              </w:tabs>
              <w:rPr>
                <w:rFonts w:ascii="Arial" w:hAnsi="Arial" w:cs="Arial"/>
                <w:b/>
                <w:color w:val="036694"/>
              </w:rPr>
            </w:pPr>
          </w:p>
          <w:p w:rsidR="00582CA5" w:rsidRDefault="00582CA5" w:rsidP="00846787">
            <w:pPr>
              <w:tabs>
                <w:tab w:val="left" w:pos="6237"/>
              </w:tabs>
              <w:jc w:val="center"/>
              <w:rPr>
                <w:rFonts w:ascii="Arial Narrow" w:hAnsi="Arial Narrow"/>
                <w:b/>
                <w:color w:val="036694"/>
              </w:rPr>
            </w:pPr>
            <w:r w:rsidRPr="004B62E9">
              <w:rPr>
                <w:b/>
                <w:color w:val="036694"/>
              </w:rPr>
              <w:sym w:font="Wingdings" w:char="F028"/>
            </w:r>
            <w:r w:rsidRPr="004B62E9">
              <w:rPr>
                <w:rFonts w:ascii="Arial Narrow" w:hAnsi="Arial Narrow"/>
                <w:b/>
                <w:color w:val="036694"/>
              </w:rPr>
              <w:t xml:space="preserve"> 04 73 87 17 75 – 06 64 77 10 20</w:t>
            </w:r>
            <w:r w:rsidRPr="004B62E9">
              <w:rPr>
                <w:rFonts w:ascii="Arial Narrow" w:hAnsi="Arial Narrow" w:cs="Arial"/>
                <w:b/>
                <w:color w:val="036694"/>
              </w:rPr>
              <w:t xml:space="preserve">     </w:t>
            </w:r>
            <w:r w:rsidRPr="004B62E9">
              <w:rPr>
                <w:rFonts w:ascii="Arial Narrow" w:hAnsi="Arial Narrow"/>
                <w:b/>
                <w:color w:val="036694"/>
              </w:rPr>
              <w:sym w:font="Wingdings" w:char="F03A"/>
            </w:r>
            <w:r w:rsidRPr="004B62E9">
              <w:rPr>
                <w:rFonts w:ascii="Arial Narrow" w:hAnsi="Arial Narrow"/>
                <w:b/>
                <w:color w:val="036694"/>
              </w:rPr>
              <w:t xml:space="preserve"> </w:t>
            </w:r>
            <w:hyperlink r:id="rId7" w:history="1">
              <w:r w:rsidRPr="00F72C73">
                <w:rPr>
                  <w:rStyle w:val="Lienhypertexte"/>
                  <w:rFonts w:ascii="Arial Narrow" w:hAnsi="Arial Narrow"/>
                  <w:b/>
                </w:rPr>
                <w:t>jbmoings@gmail.com</w:t>
              </w:r>
            </w:hyperlink>
          </w:p>
          <w:p w:rsidR="00582CA5" w:rsidRPr="004B62E9" w:rsidRDefault="00582CA5" w:rsidP="00846787">
            <w:pPr>
              <w:tabs>
                <w:tab w:val="left" w:pos="6237"/>
              </w:tabs>
              <w:jc w:val="center"/>
            </w:pPr>
          </w:p>
          <w:p w:rsidR="00582CA5" w:rsidRPr="00582CA5" w:rsidRDefault="00582CA5" w:rsidP="00582CA5">
            <w:pPr>
              <w:jc w:val="center"/>
              <w:rPr>
                <w:rFonts w:ascii="Arial" w:hAnsi="Arial" w:cs="Arial"/>
                <w:b/>
                <w:bCs/>
                <w:color w:val="063968"/>
                <w:u w:val="single"/>
              </w:rPr>
            </w:pPr>
          </w:p>
        </w:tc>
      </w:tr>
    </w:tbl>
    <w:p w:rsidR="0024738B" w:rsidRPr="0024738B" w:rsidRDefault="0024738B" w:rsidP="001764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4EF" w:rsidRPr="0024738B" w:rsidRDefault="008367D6" w:rsidP="00247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8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764EF" w:rsidRPr="0024738B">
        <w:rPr>
          <w:rFonts w:ascii="Times New Roman" w:hAnsi="Times New Roman" w:cs="Times New Roman"/>
          <w:b/>
          <w:bCs/>
          <w:sz w:val="28"/>
          <w:szCs w:val="28"/>
        </w:rPr>
        <w:t>rocédure pour le règlement des juges et H</w:t>
      </w:r>
      <w:r w:rsidR="00935D99" w:rsidRPr="0024738B">
        <w:rPr>
          <w:rFonts w:ascii="Times New Roman" w:hAnsi="Times New Roman" w:cs="Times New Roman"/>
          <w:b/>
          <w:bCs/>
          <w:sz w:val="28"/>
          <w:szCs w:val="28"/>
        </w:rPr>
        <w:t>ommes Assistants</w:t>
      </w:r>
      <w:r w:rsidR="001764EF" w:rsidRPr="0024738B">
        <w:rPr>
          <w:rFonts w:ascii="Times New Roman" w:hAnsi="Times New Roman" w:cs="Times New Roman"/>
          <w:b/>
          <w:bCs/>
          <w:sz w:val="28"/>
          <w:szCs w:val="28"/>
        </w:rPr>
        <w:t xml:space="preserve">, lors de nos Grands </w:t>
      </w:r>
      <w:r w:rsidR="009871FD" w:rsidRPr="0024738B">
        <w:rPr>
          <w:rFonts w:ascii="Times New Roman" w:hAnsi="Times New Roman" w:cs="Times New Roman"/>
          <w:b/>
          <w:bCs/>
          <w:sz w:val="28"/>
          <w:szCs w:val="28"/>
        </w:rPr>
        <w:t>Événements</w:t>
      </w:r>
      <w:r w:rsidR="00BF60B3" w:rsidRPr="0024738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1764EF" w:rsidRPr="0024738B">
        <w:rPr>
          <w:rFonts w:ascii="Times New Roman" w:hAnsi="Times New Roman" w:cs="Times New Roman"/>
          <w:b/>
          <w:bCs/>
          <w:sz w:val="28"/>
          <w:szCs w:val="28"/>
        </w:rPr>
        <w:t xml:space="preserve"> Championnats</w:t>
      </w:r>
      <w:r w:rsidR="00BF60B3" w:rsidRPr="0024738B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r w:rsidR="001764EF" w:rsidRPr="0024738B">
        <w:rPr>
          <w:rFonts w:ascii="Times New Roman" w:hAnsi="Times New Roman" w:cs="Times New Roman"/>
          <w:b/>
          <w:bCs/>
          <w:sz w:val="28"/>
          <w:szCs w:val="28"/>
        </w:rPr>
        <w:t>Grands Prix SCC</w:t>
      </w:r>
      <w:r w:rsidR="001764EF" w:rsidRPr="0024738B">
        <w:rPr>
          <w:rFonts w:ascii="Times New Roman" w:hAnsi="Times New Roman" w:cs="Times New Roman"/>
          <w:sz w:val="28"/>
          <w:szCs w:val="28"/>
        </w:rPr>
        <w:t>.</w:t>
      </w:r>
    </w:p>
    <w:p w:rsidR="0024738B" w:rsidRDefault="0024738B" w:rsidP="008367D6">
      <w:pPr>
        <w:jc w:val="center"/>
        <w:rPr>
          <w:rFonts w:ascii="Times New Roman" w:hAnsi="Times New Roman" w:cs="Times New Roman"/>
        </w:rPr>
      </w:pPr>
    </w:p>
    <w:p w:rsidR="00935D99" w:rsidRDefault="008367D6" w:rsidP="008367D6">
      <w:pPr>
        <w:jc w:val="center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>+++++++++++++</w:t>
      </w:r>
    </w:p>
    <w:p w:rsidR="0024738B" w:rsidRPr="0024738B" w:rsidRDefault="0024738B" w:rsidP="008367D6">
      <w:pPr>
        <w:jc w:val="center"/>
        <w:rPr>
          <w:rFonts w:ascii="Times New Roman" w:hAnsi="Times New Roman" w:cs="Times New Roman"/>
        </w:rPr>
      </w:pPr>
    </w:p>
    <w:p w:rsidR="001764EF" w:rsidRPr="0024738B" w:rsidRDefault="001764EF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Rappel, l’ensemble des </w:t>
      </w:r>
      <w:r w:rsidR="009871FD" w:rsidRPr="0024738B">
        <w:rPr>
          <w:rFonts w:ascii="Times New Roman" w:hAnsi="Times New Roman" w:cs="Times New Roman"/>
        </w:rPr>
        <w:t xml:space="preserve">membres du </w:t>
      </w:r>
      <w:r w:rsidRPr="0024738B">
        <w:rPr>
          <w:rFonts w:ascii="Times New Roman" w:hAnsi="Times New Roman" w:cs="Times New Roman"/>
        </w:rPr>
        <w:t xml:space="preserve">jury doit recevoir </w:t>
      </w:r>
      <w:r w:rsidR="00B23817" w:rsidRPr="0024738B">
        <w:rPr>
          <w:rFonts w:ascii="Times New Roman" w:hAnsi="Times New Roman" w:cs="Times New Roman"/>
        </w:rPr>
        <w:t>leurs</w:t>
      </w:r>
      <w:r w:rsidRPr="0024738B">
        <w:rPr>
          <w:rFonts w:ascii="Times New Roman" w:hAnsi="Times New Roman" w:cs="Times New Roman"/>
        </w:rPr>
        <w:t xml:space="preserve"> indemnités de déplacements et/ou, forfait de prestation pour les H. A., à la fin de la </w:t>
      </w:r>
      <w:r w:rsidR="009871FD" w:rsidRPr="0024738B">
        <w:rPr>
          <w:rFonts w:ascii="Times New Roman" w:hAnsi="Times New Roman" w:cs="Times New Roman"/>
        </w:rPr>
        <w:t>compétition</w:t>
      </w:r>
      <w:r w:rsidRPr="0024738B">
        <w:rPr>
          <w:rFonts w:ascii="Times New Roman" w:hAnsi="Times New Roman" w:cs="Times New Roman"/>
        </w:rPr>
        <w:t>.</w:t>
      </w:r>
    </w:p>
    <w:p w:rsidR="00326B78" w:rsidRPr="0024738B" w:rsidRDefault="00326B78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Cette démarche est mise en place, </w:t>
      </w:r>
      <w:r w:rsidR="00E565B7" w:rsidRPr="0024738B">
        <w:rPr>
          <w:rFonts w:ascii="Times New Roman" w:hAnsi="Times New Roman" w:cs="Times New Roman"/>
        </w:rPr>
        <w:t>pour faciliter le travail des organisateurs, et qu’ils n’aient</w:t>
      </w:r>
      <w:r w:rsidRPr="0024738B">
        <w:rPr>
          <w:rFonts w:ascii="Times New Roman" w:hAnsi="Times New Roman" w:cs="Times New Roman"/>
        </w:rPr>
        <w:t xml:space="preserve"> plus la totalité </w:t>
      </w:r>
      <w:r w:rsidR="00790C3B" w:rsidRPr="0024738B">
        <w:rPr>
          <w:rFonts w:ascii="Times New Roman" w:hAnsi="Times New Roman" w:cs="Times New Roman"/>
        </w:rPr>
        <w:t>des frais de</w:t>
      </w:r>
      <w:r w:rsidR="00E565B7" w:rsidRPr="0024738B">
        <w:rPr>
          <w:rFonts w:ascii="Times New Roman" w:hAnsi="Times New Roman" w:cs="Times New Roman"/>
        </w:rPr>
        <w:t>s</w:t>
      </w:r>
      <w:r w:rsidR="00790C3B" w:rsidRPr="0024738B">
        <w:rPr>
          <w:rFonts w:ascii="Times New Roman" w:hAnsi="Times New Roman" w:cs="Times New Roman"/>
        </w:rPr>
        <w:t xml:space="preserve"> </w:t>
      </w:r>
      <w:r w:rsidR="00E565B7" w:rsidRPr="0024738B">
        <w:rPr>
          <w:rFonts w:ascii="Times New Roman" w:hAnsi="Times New Roman" w:cs="Times New Roman"/>
        </w:rPr>
        <w:t xml:space="preserve">membres des </w:t>
      </w:r>
      <w:r w:rsidR="00790C3B" w:rsidRPr="0024738B">
        <w:rPr>
          <w:rFonts w:ascii="Times New Roman" w:hAnsi="Times New Roman" w:cs="Times New Roman"/>
        </w:rPr>
        <w:t>jury</w:t>
      </w:r>
      <w:r w:rsidR="00E565B7" w:rsidRPr="0024738B">
        <w:rPr>
          <w:rFonts w:ascii="Times New Roman" w:hAnsi="Times New Roman" w:cs="Times New Roman"/>
        </w:rPr>
        <w:t>s</w:t>
      </w:r>
      <w:r w:rsidR="00790C3B" w:rsidRPr="0024738B">
        <w:rPr>
          <w:rFonts w:ascii="Times New Roman" w:hAnsi="Times New Roman" w:cs="Times New Roman"/>
        </w:rPr>
        <w:t xml:space="preserve"> à avancer.</w:t>
      </w:r>
    </w:p>
    <w:p w:rsidR="001764EF" w:rsidRPr="0024738B" w:rsidRDefault="001764EF" w:rsidP="001764EF">
      <w:pPr>
        <w:jc w:val="both"/>
        <w:rPr>
          <w:rFonts w:ascii="Times New Roman" w:hAnsi="Times New Roman" w:cs="Times New Roman"/>
        </w:rPr>
      </w:pPr>
    </w:p>
    <w:p w:rsidR="001764EF" w:rsidRPr="0024738B" w:rsidRDefault="001764EF" w:rsidP="001764E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738B">
        <w:rPr>
          <w:rFonts w:ascii="Times New Roman" w:hAnsi="Times New Roman" w:cs="Times New Roman"/>
          <w:b/>
          <w:bCs/>
          <w:u w:val="single"/>
        </w:rPr>
        <w:t>Procédure :</w:t>
      </w:r>
    </w:p>
    <w:p w:rsidR="001764EF" w:rsidRPr="0024738B" w:rsidRDefault="001764EF" w:rsidP="001764EF">
      <w:pPr>
        <w:jc w:val="both"/>
        <w:rPr>
          <w:rFonts w:ascii="Times New Roman" w:hAnsi="Times New Roman" w:cs="Times New Roman"/>
          <w:u w:val="single"/>
        </w:rPr>
      </w:pPr>
    </w:p>
    <w:p w:rsidR="001764EF" w:rsidRPr="0024738B" w:rsidRDefault="001764EF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- </w:t>
      </w:r>
      <w:r w:rsidR="00861E7E" w:rsidRPr="0024738B">
        <w:rPr>
          <w:rFonts w:ascii="Times New Roman" w:hAnsi="Times New Roman" w:cs="Times New Roman"/>
          <w:highlight w:val="yellow"/>
        </w:rPr>
        <w:t>6 semaines</w:t>
      </w:r>
      <w:r w:rsidRPr="0024738B">
        <w:rPr>
          <w:rFonts w:ascii="Times New Roman" w:hAnsi="Times New Roman" w:cs="Times New Roman"/>
          <w:highlight w:val="yellow"/>
        </w:rPr>
        <w:t xml:space="preserve"> avant la compétition</w:t>
      </w:r>
      <w:r w:rsidRPr="0024738B">
        <w:rPr>
          <w:rFonts w:ascii="Times New Roman" w:hAnsi="Times New Roman" w:cs="Times New Roman"/>
        </w:rPr>
        <w:t xml:space="preserve">, le </w:t>
      </w:r>
      <w:r w:rsidR="009871FD" w:rsidRPr="0024738B">
        <w:rPr>
          <w:rFonts w:ascii="Times New Roman" w:hAnsi="Times New Roman" w:cs="Times New Roman"/>
        </w:rPr>
        <w:t xml:space="preserve">responsable du </w:t>
      </w:r>
      <w:r w:rsidRPr="0024738B">
        <w:rPr>
          <w:rFonts w:ascii="Times New Roman" w:hAnsi="Times New Roman" w:cs="Times New Roman"/>
        </w:rPr>
        <w:t>Groupe Travail concerné</w:t>
      </w:r>
      <w:r w:rsidR="00FC2C7E" w:rsidRPr="0024738B">
        <w:rPr>
          <w:rFonts w:ascii="Times New Roman" w:hAnsi="Times New Roman" w:cs="Times New Roman"/>
        </w:rPr>
        <w:t>,</w:t>
      </w:r>
      <w:r w:rsidR="009871FD" w:rsidRPr="0024738B">
        <w:rPr>
          <w:rFonts w:ascii="Times New Roman" w:hAnsi="Times New Roman" w:cs="Times New Roman"/>
        </w:rPr>
        <w:t xml:space="preserve"> </w:t>
      </w:r>
      <w:r w:rsidRPr="0024738B">
        <w:rPr>
          <w:rFonts w:ascii="Times New Roman" w:hAnsi="Times New Roman" w:cs="Times New Roman"/>
        </w:rPr>
        <w:t>envoi par mail au</w:t>
      </w:r>
      <w:r w:rsidR="00FC2C7E" w:rsidRPr="0024738B">
        <w:rPr>
          <w:rFonts w:ascii="Times New Roman" w:hAnsi="Times New Roman" w:cs="Times New Roman"/>
        </w:rPr>
        <w:t>x</w:t>
      </w:r>
      <w:r w:rsidRPr="0024738B">
        <w:rPr>
          <w:rFonts w:ascii="Times New Roman" w:hAnsi="Times New Roman" w:cs="Times New Roman"/>
        </w:rPr>
        <w:t xml:space="preserve"> </w:t>
      </w:r>
      <w:r w:rsidR="00B23817" w:rsidRPr="0024738B">
        <w:rPr>
          <w:rFonts w:ascii="Times New Roman" w:hAnsi="Times New Roman" w:cs="Times New Roman"/>
        </w:rPr>
        <w:t xml:space="preserve">2 membres du GT Grands </w:t>
      </w:r>
      <w:r w:rsidR="00AF46D2" w:rsidRPr="0024738B">
        <w:rPr>
          <w:rFonts w:ascii="Times New Roman" w:hAnsi="Times New Roman" w:cs="Times New Roman"/>
        </w:rPr>
        <w:t>Événements</w:t>
      </w:r>
      <w:r w:rsidR="00FC2C7E" w:rsidRPr="0024738B">
        <w:rPr>
          <w:rFonts w:ascii="Times New Roman" w:hAnsi="Times New Roman" w:cs="Times New Roman"/>
        </w:rPr>
        <w:t>, le budget prévisionnel des frais du jury (document ci-dessous page 2) </w:t>
      </w:r>
      <w:r w:rsidR="00B23817" w:rsidRPr="0024738B">
        <w:rPr>
          <w:rFonts w:ascii="Times New Roman" w:hAnsi="Times New Roman" w:cs="Times New Roman"/>
        </w:rPr>
        <w:t xml:space="preserve"> : </w:t>
      </w:r>
      <w:hyperlink r:id="rId8" w:history="1">
        <w:r w:rsidR="00B23817" w:rsidRPr="0024738B">
          <w:rPr>
            <w:rStyle w:val="Lienhypertexte"/>
            <w:rFonts w:ascii="Times New Roman" w:hAnsi="Times New Roman" w:cs="Times New Roman"/>
          </w:rPr>
          <w:t>rouillon.pierre@sfr.fr</w:t>
        </w:r>
      </w:hyperlink>
      <w:r w:rsidR="00B23817" w:rsidRPr="0024738B">
        <w:rPr>
          <w:rFonts w:ascii="Times New Roman" w:hAnsi="Times New Roman" w:cs="Times New Roman"/>
        </w:rPr>
        <w:t xml:space="preserve"> et </w:t>
      </w:r>
      <w:hyperlink r:id="rId9" w:history="1">
        <w:r w:rsidR="00B23817" w:rsidRPr="0024738B">
          <w:rPr>
            <w:rStyle w:val="Lienhypertexte"/>
            <w:rFonts w:ascii="Times New Roman" w:hAnsi="Times New Roman" w:cs="Times New Roman"/>
          </w:rPr>
          <w:t>cun.dominiqueandre@outlook.fr</w:t>
        </w:r>
      </w:hyperlink>
      <w:r w:rsidR="00FC2C7E" w:rsidRPr="0024738B">
        <w:rPr>
          <w:rFonts w:ascii="Times New Roman" w:hAnsi="Times New Roman" w:cs="Times New Roman"/>
        </w:rPr>
        <w:t> :</w:t>
      </w:r>
    </w:p>
    <w:p w:rsidR="00935D99" w:rsidRPr="0024738B" w:rsidRDefault="00935D99" w:rsidP="001764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764EF" w:rsidRPr="0024738B" w:rsidRDefault="001764EF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b/>
          <w:bCs/>
          <w:u w:val="single"/>
        </w:rPr>
        <w:t>Pour les juges </w:t>
      </w:r>
      <w:r w:rsidR="000B77B3" w:rsidRPr="0024738B">
        <w:rPr>
          <w:rFonts w:ascii="Times New Roman" w:hAnsi="Times New Roman" w:cs="Times New Roman"/>
          <w:b/>
          <w:bCs/>
          <w:u w:val="single"/>
        </w:rPr>
        <w:t xml:space="preserve">français </w:t>
      </w:r>
      <w:r w:rsidRPr="0024738B">
        <w:rPr>
          <w:rFonts w:ascii="Times New Roman" w:hAnsi="Times New Roman" w:cs="Times New Roman"/>
          <w:b/>
          <w:bCs/>
          <w:u w:val="single"/>
        </w:rPr>
        <w:t>:</w:t>
      </w:r>
      <w:r w:rsidRPr="0024738B">
        <w:rPr>
          <w:rFonts w:ascii="Times New Roman" w:hAnsi="Times New Roman" w:cs="Times New Roman"/>
        </w:rPr>
        <w:t xml:space="preserve"> nom, kilométrage de son domicile au lieu de la compétition aller et retour</w:t>
      </w:r>
      <w:r w:rsidR="009871FD" w:rsidRPr="0024738B">
        <w:rPr>
          <w:rFonts w:ascii="Times New Roman" w:hAnsi="Times New Roman" w:cs="Times New Roman"/>
        </w:rPr>
        <w:t xml:space="preserve"> (référence Mappy express)</w:t>
      </w:r>
      <w:r w:rsidRPr="0024738B">
        <w:rPr>
          <w:rFonts w:ascii="Times New Roman" w:hAnsi="Times New Roman" w:cs="Times New Roman"/>
        </w:rPr>
        <w:t>, en ajoutant</w:t>
      </w:r>
      <w:r w:rsidR="009871FD" w:rsidRPr="0024738B">
        <w:rPr>
          <w:rFonts w:ascii="Times New Roman" w:hAnsi="Times New Roman" w:cs="Times New Roman"/>
        </w:rPr>
        <w:t xml:space="preserve"> les 50 km forfaitaires, le total multipli</w:t>
      </w:r>
      <w:r w:rsidR="001E593E" w:rsidRPr="0024738B">
        <w:rPr>
          <w:rFonts w:ascii="Times New Roman" w:hAnsi="Times New Roman" w:cs="Times New Roman"/>
        </w:rPr>
        <w:t>é</w:t>
      </w:r>
      <w:r w:rsidR="009871FD" w:rsidRPr="0024738B">
        <w:rPr>
          <w:rFonts w:ascii="Times New Roman" w:hAnsi="Times New Roman" w:cs="Times New Roman"/>
        </w:rPr>
        <w:t xml:space="preserve"> par le forfait de la SCC (</w:t>
      </w:r>
      <w:r w:rsidR="001E593E" w:rsidRPr="0024738B">
        <w:rPr>
          <w:rFonts w:ascii="Times New Roman" w:hAnsi="Times New Roman" w:cs="Times New Roman"/>
        </w:rPr>
        <w:t xml:space="preserve">0,50 € par km </w:t>
      </w:r>
      <w:r w:rsidR="009871FD" w:rsidRPr="0024738B">
        <w:rPr>
          <w:rFonts w:ascii="Times New Roman" w:hAnsi="Times New Roman" w:cs="Times New Roman"/>
        </w:rPr>
        <w:t>en mai 2020).</w:t>
      </w:r>
    </w:p>
    <w:p w:rsidR="00B23817" w:rsidRPr="0024738B" w:rsidRDefault="0051722A" w:rsidP="001764EF">
      <w:pPr>
        <w:jc w:val="both"/>
        <w:rPr>
          <w:rFonts w:ascii="Times New Roman" w:hAnsi="Times New Roman" w:cs="Times New Roman"/>
          <w:color w:val="000000" w:themeColor="text1"/>
        </w:rPr>
      </w:pPr>
      <w:r w:rsidRPr="0024738B">
        <w:rPr>
          <w:rFonts w:ascii="Times New Roman" w:hAnsi="Times New Roman" w:cs="Times New Roman"/>
          <w:color w:val="000000" w:themeColor="text1"/>
          <w:highlight w:val="green"/>
        </w:rPr>
        <w:t>Pour les longs déplacements, donner priorité aux moyens de locomotion les moins onéreux (train, avion, etc.)</w:t>
      </w:r>
    </w:p>
    <w:p w:rsidR="000B77B3" w:rsidRPr="0024738B" w:rsidRDefault="000B77B3" w:rsidP="000B77B3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B77B3" w:rsidRPr="0024738B" w:rsidRDefault="000B77B3" w:rsidP="000B77B3">
      <w:pPr>
        <w:jc w:val="both"/>
        <w:rPr>
          <w:rFonts w:ascii="Times New Roman" w:hAnsi="Times New Roman" w:cs="Times New Roman"/>
          <w:color w:val="000000" w:themeColor="text1"/>
        </w:rPr>
      </w:pPr>
      <w:r w:rsidRPr="0024738B">
        <w:rPr>
          <w:rFonts w:ascii="Times New Roman" w:hAnsi="Times New Roman" w:cs="Times New Roman"/>
          <w:b/>
          <w:bCs/>
          <w:color w:val="000000" w:themeColor="text1"/>
          <w:u w:val="single"/>
        </w:rPr>
        <w:t>Pour les juges étrangers</w:t>
      </w:r>
      <w:r w:rsidR="00935D99" w:rsidRPr="0024738B">
        <w:rPr>
          <w:rFonts w:ascii="Times New Roman" w:hAnsi="Times New Roman" w:cs="Times New Roman"/>
          <w:b/>
          <w:bCs/>
          <w:color w:val="000000" w:themeColor="text1"/>
          <w:u w:val="single"/>
        </w:rPr>
        <w:t> :</w:t>
      </w:r>
      <w:r w:rsidR="00935D99" w:rsidRPr="0024738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4738B">
        <w:rPr>
          <w:rFonts w:ascii="Times New Roman" w:hAnsi="Times New Roman" w:cs="Times New Roman"/>
          <w:color w:val="000000" w:themeColor="text1"/>
        </w:rPr>
        <w:t>à régler en espèces</w:t>
      </w:r>
      <w:r w:rsidR="00935D99" w:rsidRPr="0024738B">
        <w:rPr>
          <w:rFonts w:ascii="Times New Roman" w:hAnsi="Times New Roman" w:cs="Times New Roman"/>
          <w:color w:val="000000" w:themeColor="text1"/>
        </w:rPr>
        <w:t>, e</w:t>
      </w:r>
      <w:r w:rsidRPr="0024738B">
        <w:rPr>
          <w:rFonts w:ascii="Times New Roman" w:hAnsi="Times New Roman" w:cs="Times New Roman"/>
          <w:color w:val="000000" w:themeColor="text1"/>
        </w:rPr>
        <w:t>n vigueur en mai 2020</w:t>
      </w:r>
      <w:r w:rsidR="00935D99" w:rsidRPr="0024738B">
        <w:rPr>
          <w:rFonts w:ascii="Times New Roman" w:hAnsi="Times New Roman" w:cs="Times New Roman"/>
          <w:color w:val="000000" w:themeColor="text1"/>
        </w:rPr>
        <w:t> :</w:t>
      </w:r>
    </w:p>
    <w:p w:rsidR="000B77B3" w:rsidRPr="0024738B" w:rsidRDefault="000B77B3" w:rsidP="000B77B3">
      <w:pPr>
        <w:jc w:val="both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24738B">
        <w:rPr>
          <w:rFonts w:ascii="Times New Roman" w:hAnsi="Times New Roman" w:cs="Times New Roman"/>
          <w:color w:val="000000" w:themeColor="text1"/>
        </w:rPr>
        <w:t>35 € par jour de voyage, il s’agit du jour précédent et du jour suivant le jugement</w:t>
      </w:r>
    </w:p>
    <w:p w:rsidR="000B77B3" w:rsidRPr="0024738B" w:rsidRDefault="000B77B3" w:rsidP="000B77B3">
      <w:pPr>
        <w:jc w:val="both"/>
        <w:rPr>
          <w:rFonts w:ascii="Times New Roman" w:hAnsi="Times New Roman" w:cs="Times New Roman"/>
          <w:color w:val="000000" w:themeColor="text1"/>
        </w:rPr>
      </w:pPr>
      <w:r w:rsidRPr="0024738B">
        <w:rPr>
          <w:rFonts w:ascii="Times New Roman" w:hAnsi="Times New Roman" w:cs="Times New Roman"/>
          <w:color w:val="000000" w:themeColor="text1"/>
        </w:rPr>
        <w:t>50 € par jour de jugement</w:t>
      </w:r>
    </w:p>
    <w:p w:rsidR="000B77B3" w:rsidRPr="0024738B" w:rsidRDefault="000B77B3" w:rsidP="000B77B3">
      <w:pPr>
        <w:pStyle w:val="Paragraphedeliste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4738B">
        <w:rPr>
          <w:rFonts w:ascii="Times New Roman" w:hAnsi="Times New Roman" w:cs="Times New Roman"/>
          <w:color w:val="000000" w:themeColor="text1"/>
        </w:rPr>
        <w:t>0.35 € du km au titre des frais de déplacement</w:t>
      </w:r>
      <w:r w:rsidR="00935D99" w:rsidRPr="0024738B">
        <w:rPr>
          <w:rFonts w:ascii="Times New Roman" w:hAnsi="Times New Roman" w:cs="Times New Roman"/>
          <w:color w:val="000000" w:themeColor="text1"/>
        </w:rPr>
        <w:t>, ou billet d’avion + taxi</w:t>
      </w:r>
      <w:r w:rsidR="00AF46D2" w:rsidRPr="0024738B">
        <w:rPr>
          <w:rFonts w:ascii="Times New Roman" w:hAnsi="Times New Roman" w:cs="Times New Roman"/>
          <w:color w:val="000000" w:themeColor="text1"/>
        </w:rPr>
        <w:t xml:space="preserve"> domicile aéroport aller/retour,</w:t>
      </w:r>
      <w:r w:rsidR="00935D99" w:rsidRPr="0024738B">
        <w:rPr>
          <w:rFonts w:ascii="Times New Roman" w:hAnsi="Times New Roman" w:cs="Times New Roman"/>
          <w:color w:val="000000" w:themeColor="text1"/>
        </w:rPr>
        <w:t xml:space="preserve"> </w:t>
      </w:r>
      <w:r w:rsidR="00AF46D2" w:rsidRPr="0024738B">
        <w:rPr>
          <w:rFonts w:ascii="Times New Roman" w:hAnsi="Times New Roman" w:cs="Times New Roman"/>
          <w:color w:val="000000" w:themeColor="text1"/>
        </w:rPr>
        <w:t>ou, parking à l’aéroport</w:t>
      </w:r>
      <w:r w:rsidR="00935D99" w:rsidRPr="0024738B">
        <w:rPr>
          <w:rFonts w:ascii="Times New Roman" w:hAnsi="Times New Roman" w:cs="Times New Roman"/>
          <w:color w:val="000000" w:themeColor="text1"/>
        </w:rPr>
        <w:t>.</w:t>
      </w:r>
    </w:p>
    <w:p w:rsidR="000B77B3" w:rsidRPr="0024738B" w:rsidRDefault="000B77B3" w:rsidP="001764EF">
      <w:pPr>
        <w:jc w:val="both"/>
        <w:rPr>
          <w:rFonts w:ascii="Times New Roman" w:hAnsi="Times New Roman" w:cs="Times New Roman"/>
        </w:rPr>
      </w:pPr>
    </w:p>
    <w:p w:rsidR="009871FD" w:rsidRPr="0024738B" w:rsidRDefault="009871FD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b/>
          <w:bCs/>
          <w:u w:val="single"/>
        </w:rPr>
        <w:t>Pour les Hommes Assistants :</w:t>
      </w:r>
      <w:r w:rsidRPr="0024738B">
        <w:rPr>
          <w:rFonts w:ascii="Times New Roman" w:hAnsi="Times New Roman" w:cs="Times New Roman"/>
        </w:rPr>
        <w:t xml:space="preserve"> nom, kilométrage de son domicile au lieu de la compétition aller et retour (référence Mappy express), le total multipli</w:t>
      </w:r>
      <w:r w:rsidR="00935D99" w:rsidRPr="0024738B">
        <w:rPr>
          <w:rFonts w:ascii="Times New Roman" w:hAnsi="Times New Roman" w:cs="Times New Roman"/>
        </w:rPr>
        <w:t>é</w:t>
      </w:r>
      <w:r w:rsidRPr="0024738B">
        <w:rPr>
          <w:rFonts w:ascii="Times New Roman" w:hAnsi="Times New Roman" w:cs="Times New Roman"/>
        </w:rPr>
        <w:t xml:space="preserve"> par le forfait de la SCC </w:t>
      </w:r>
      <w:r w:rsidR="001E593E" w:rsidRPr="0024738B">
        <w:rPr>
          <w:rFonts w:ascii="Times New Roman" w:hAnsi="Times New Roman" w:cs="Times New Roman"/>
        </w:rPr>
        <w:t>(0,50 € par km en mai 2020)</w:t>
      </w:r>
      <w:r w:rsidRPr="0024738B">
        <w:rPr>
          <w:rFonts w:ascii="Times New Roman" w:hAnsi="Times New Roman" w:cs="Times New Roman"/>
        </w:rPr>
        <w:t>. Plus le forfait de prestation des H. A. (63 € jour ou 37 € demi-journée (en mai 2020)</w:t>
      </w:r>
      <w:r w:rsidR="00141850" w:rsidRPr="0024738B">
        <w:rPr>
          <w:rFonts w:ascii="Times New Roman" w:hAnsi="Times New Roman" w:cs="Times New Roman"/>
        </w:rPr>
        <w:t>.</w:t>
      </w:r>
    </w:p>
    <w:p w:rsidR="000B77B3" w:rsidRPr="0024738B" w:rsidRDefault="000B77B3" w:rsidP="001764EF">
      <w:pPr>
        <w:jc w:val="both"/>
        <w:rPr>
          <w:rFonts w:ascii="Times New Roman" w:hAnsi="Times New Roman" w:cs="Times New Roman"/>
        </w:rPr>
      </w:pPr>
    </w:p>
    <w:p w:rsidR="00141850" w:rsidRPr="0024738B" w:rsidRDefault="00935D99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b/>
          <w:bCs/>
          <w:u w:val="single"/>
        </w:rPr>
        <w:t>Tous ces calculs, a</w:t>
      </w:r>
      <w:r w:rsidR="00141850" w:rsidRPr="0024738B">
        <w:rPr>
          <w:rFonts w:ascii="Times New Roman" w:hAnsi="Times New Roman" w:cs="Times New Roman"/>
          <w:b/>
          <w:bCs/>
          <w:u w:val="single"/>
        </w:rPr>
        <w:t>vec :</w:t>
      </w:r>
      <w:r w:rsidR="00141850" w:rsidRPr="0024738B">
        <w:rPr>
          <w:rFonts w:ascii="Times New Roman" w:hAnsi="Times New Roman" w:cs="Times New Roman"/>
        </w:rPr>
        <w:t xml:space="preserve"> l’intitulé du destinataire</w:t>
      </w:r>
      <w:r w:rsidRPr="0024738B">
        <w:rPr>
          <w:rFonts w:ascii="Times New Roman" w:hAnsi="Times New Roman" w:cs="Times New Roman"/>
        </w:rPr>
        <w:t xml:space="preserve"> (des organisateurs) </w:t>
      </w:r>
      <w:r w:rsidR="00141850" w:rsidRPr="0024738B">
        <w:rPr>
          <w:rFonts w:ascii="Times New Roman" w:hAnsi="Times New Roman" w:cs="Times New Roman"/>
        </w:rPr>
        <w:t xml:space="preserve">du </w:t>
      </w:r>
      <w:r w:rsidR="00790C3B" w:rsidRPr="0024738B">
        <w:rPr>
          <w:rFonts w:ascii="Times New Roman" w:hAnsi="Times New Roman" w:cs="Times New Roman"/>
        </w:rPr>
        <w:t xml:space="preserve">virement, accompagné OBLIGATOIREMENT </w:t>
      </w:r>
      <w:r w:rsidR="00790C3B" w:rsidRPr="0024738B">
        <w:rPr>
          <w:rFonts w:ascii="Times New Roman" w:hAnsi="Times New Roman" w:cs="Times New Roman"/>
          <w:highlight w:val="yellow"/>
        </w:rPr>
        <w:t>du Relevé d’Identité Bancaire.</w:t>
      </w:r>
    </w:p>
    <w:p w:rsidR="00141850" w:rsidRPr="0024738B" w:rsidRDefault="00141850" w:rsidP="001764EF">
      <w:pPr>
        <w:jc w:val="both"/>
        <w:rPr>
          <w:rFonts w:ascii="Times New Roman" w:hAnsi="Times New Roman" w:cs="Times New Roman"/>
        </w:rPr>
      </w:pPr>
    </w:p>
    <w:p w:rsidR="00141850" w:rsidRPr="0024738B" w:rsidRDefault="00141850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Le GT des </w:t>
      </w:r>
      <w:r w:rsidR="003F6DE1" w:rsidRPr="0024738B">
        <w:rPr>
          <w:rFonts w:ascii="Times New Roman" w:hAnsi="Times New Roman" w:cs="Times New Roman"/>
        </w:rPr>
        <w:t>G</w:t>
      </w:r>
      <w:r w:rsidRPr="0024738B">
        <w:rPr>
          <w:rFonts w:ascii="Times New Roman" w:hAnsi="Times New Roman" w:cs="Times New Roman"/>
        </w:rPr>
        <w:t xml:space="preserve">rands </w:t>
      </w:r>
      <w:r w:rsidR="003F6DE1" w:rsidRPr="0024738B">
        <w:rPr>
          <w:rFonts w:ascii="Times New Roman" w:hAnsi="Times New Roman" w:cs="Times New Roman"/>
        </w:rPr>
        <w:t>Événements</w:t>
      </w:r>
      <w:r w:rsidRPr="0024738B">
        <w:rPr>
          <w:rFonts w:ascii="Times New Roman" w:hAnsi="Times New Roman" w:cs="Times New Roman"/>
        </w:rPr>
        <w:t xml:space="preserve"> vérifi</w:t>
      </w:r>
      <w:r w:rsidR="00790C3B" w:rsidRPr="0024738B">
        <w:rPr>
          <w:rFonts w:ascii="Times New Roman" w:hAnsi="Times New Roman" w:cs="Times New Roman"/>
        </w:rPr>
        <w:t>e</w:t>
      </w:r>
      <w:r w:rsidRPr="0024738B">
        <w:rPr>
          <w:rFonts w:ascii="Times New Roman" w:hAnsi="Times New Roman" w:cs="Times New Roman"/>
        </w:rPr>
        <w:t>r</w:t>
      </w:r>
      <w:r w:rsidR="00790C3B" w:rsidRPr="0024738B">
        <w:rPr>
          <w:rFonts w:ascii="Times New Roman" w:hAnsi="Times New Roman" w:cs="Times New Roman"/>
        </w:rPr>
        <w:t>a</w:t>
      </w:r>
      <w:r w:rsidRPr="0024738B">
        <w:rPr>
          <w:rFonts w:ascii="Times New Roman" w:hAnsi="Times New Roman" w:cs="Times New Roman"/>
        </w:rPr>
        <w:t xml:space="preserve"> la véracité de ce document, et l’enverra au président de la CUN cbg, qui l’enverra au service comptabilité de la SCC</w:t>
      </w:r>
      <w:r w:rsidR="00790C3B" w:rsidRPr="0024738B">
        <w:rPr>
          <w:rFonts w:ascii="Times New Roman" w:hAnsi="Times New Roman" w:cs="Times New Roman"/>
        </w:rPr>
        <w:t>.</w:t>
      </w:r>
    </w:p>
    <w:p w:rsidR="00790C3B" w:rsidRPr="0024738B" w:rsidRDefault="00790C3B" w:rsidP="001764EF">
      <w:pPr>
        <w:jc w:val="both"/>
        <w:rPr>
          <w:rFonts w:ascii="Times New Roman" w:hAnsi="Times New Roman" w:cs="Times New Roman"/>
        </w:rPr>
      </w:pPr>
    </w:p>
    <w:p w:rsidR="00790C3B" w:rsidRPr="0024738B" w:rsidRDefault="00790C3B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highlight w:val="yellow"/>
        </w:rPr>
        <w:t xml:space="preserve">Le service comptabilité de la SCC, fera un virement de 90 % de la somme totale, au plus tard </w:t>
      </w:r>
      <w:r w:rsidRPr="0024738B">
        <w:rPr>
          <w:rFonts w:ascii="Times New Roman" w:hAnsi="Times New Roman" w:cs="Times New Roman"/>
          <w:b/>
          <w:bCs/>
          <w:highlight w:val="yellow"/>
        </w:rPr>
        <w:t>15 jours avant la compétition</w:t>
      </w:r>
      <w:r w:rsidR="00B23817" w:rsidRPr="0024738B">
        <w:rPr>
          <w:rFonts w:ascii="Times New Roman" w:hAnsi="Times New Roman" w:cs="Times New Roman"/>
          <w:b/>
          <w:bCs/>
          <w:highlight w:val="yellow"/>
        </w:rPr>
        <w:t>,</w:t>
      </w:r>
      <w:r w:rsidR="00B23817" w:rsidRPr="0024738B">
        <w:rPr>
          <w:rFonts w:ascii="Times New Roman" w:hAnsi="Times New Roman" w:cs="Times New Roman"/>
          <w:highlight w:val="yellow"/>
        </w:rPr>
        <w:t xml:space="preserve"> </w:t>
      </w:r>
      <w:r w:rsidR="00B23817" w:rsidRPr="0024738B">
        <w:rPr>
          <w:rFonts w:ascii="Times New Roman" w:hAnsi="Times New Roman" w:cs="Times New Roman"/>
          <w:color w:val="FF0000"/>
          <w:highlight w:val="yellow"/>
        </w:rPr>
        <w:t>sur le compte bancaire de l’organisateur.</w:t>
      </w:r>
    </w:p>
    <w:p w:rsidR="00DC7FBF" w:rsidRPr="0024738B" w:rsidRDefault="00DC7FBF" w:rsidP="001764EF">
      <w:pPr>
        <w:jc w:val="both"/>
        <w:rPr>
          <w:rFonts w:ascii="Times New Roman" w:hAnsi="Times New Roman" w:cs="Times New Roman"/>
        </w:rPr>
      </w:pPr>
    </w:p>
    <w:p w:rsidR="000B77B3" w:rsidRPr="0024738B" w:rsidRDefault="00DC7FBF" w:rsidP="001764EF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Après la compétition, le club organisateur enverra </w:t>
      </w:r>
      <w:r w:rsidR="000B77B3" w:rsidRPr="0024738B">
        <w:rPr>
          <w:rFonts w:ascii="Times New Roman" w:hAnsi="Times New Roman" w:cs="Times New Roman"/>
        </w:rPr>
        <w:t xml:space="preserve">au président de la CUN cbg, </w:t>
      </w:r>
      <w:r w:rsidRPr="0024738B">
        <w:rPr>
          <w:rFonts w:ascii="Times New Roman" w:hAnsi="Times New Roman" w:cs="Times New Roman"/>
        </w:rPr>
        <w:t xml:space="preserve">le bilan pour ajustement total des indemnités du jury, avec tableau récapitulatif et signatures obligatoires </w:t>
      </w:r>
      <w:r w:rsidR="000B77B3" w:rsidRPr="0024738B">
        <w:rPr>
          <w:rFonts w:ascii="Times New Roman" w:hAnsi="Times New Roman" w:cs="Times New Roman"/>
        </w:rPr>
        <w:t>des récipiendaires</w:t>
      </w:r>
      <w:r w:rsidRPr="0024738B">
        <w:rPr>
          <w:rFonts w:ascii="Times New Roman" w:hAnsi="Times New Roman" w:cs="Times New Roman"/>
        </w:rPr>
        <w:t xml:space="preserve">. </w:t>
      </w:r>
      <w:r w:rsidR="00935D99" w:rsidRPr="0024738B">
        <w:rPr>
          <w:rFonts w:ascii="Times New Roman" w:hAnsi="Times New Roman" w:cs="Times New Roman"/>
        </w:rPr>
        <w:t>Le président de la CUN cbg enverra ce document au service comptabilité de la SCC, qui</w:t>
      </w:r>
      <w:r w:rsidR="000B77B3" w:rsidRPr="0024738B">
        <w:rPr>
          <w:rFonts w:ascii="Times New Roman" w:hAnsi="Times New Roman" w:cs="Times New Roman"/>
        </w:rPr>
        <w:t xml:space="preserve"> procédera au règlement du différencie</w:t>
      </w:r>
      <w:r w:rsidR="003F6DE1" w:rsidRPr="0024738B">
        <w:rPr>
          <w:rFonts w:ascii="Times New Roman" w:hAnsi="Times New Roman" w:cs="Times New Roman"/>
        </w:rPr>
        <w:t>l.</w:t>
      </w:r>
    </w:p>
    <w:p w:rsidR="008367D6" w:rsidRPr="0024738B" w:rsidRDefault="008367D6" w:rsidP="001764EF">
      <w:pPr>
        <w:jc w:val="both"/>
        <w:rPr>
          <w:rFonts w:ascii="Times New Roman" w:hAnsi="Times New Roman" w:cs="Times New Roman"/>
        </w:rPr>
      </w:pPr>
    </w:p>
    <w:p w:rsidR="005420E1" w:rsidRPr="0024738B" w:rsidRDefault="008367D6" w:rsidP="008367D6">
      <w:pPr>
        <w:jc w:val="both"/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u w:val="single"/>
        </w:rPr>
        <w:t>Pour vous aider :</w:t>
      </w:r>
      <w:r w:rsidRPr="0024738B">
        <w:rPr>
          <w:rFonts w:ascii="Times New Roman" w:hAnsi="Times New Roman" w:cs="Times New Roman"/>
        </w:rPr>
        <w:t xml:space="preserve"> Pierre Rouillon : 0631 789 055 – </w:t>
      </w:r>
      <w:r w:rsidRPr="0024738B">
        <w:rPr>
          <w:rFonts w:ascii="Times New Roman" w:hAnsi="Times New Roman" w:cs="Times New Roman"/>
          <w:color w:val="00B0F0"/>
        </w:rPr>
        <w:t>rouillon.pierre@sfr.fr</w:t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3583"/>
        <w:gridCol w:w="7190"/>
      </w:tblGrid>
      <w:tr w:rsidR="00582CA5" w:rsidRPr="0024738B" w:rsidTr="00582CA5">
        <w:trPr>
          <w:trHeight w:val="1701"/>
          <w:jc w:val="center"/>
        </w:trPr>
        <w:tc>
          <w:tcPr>
            <w:tcW w:w="358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582CA5" w:rsidRPr="00A2572A" w:rsidRDefault="00582CA5" w:rsidP="00582CA5">
            <w:pPr>
              <w:tabs>
                <w:tab w:val="left" w:pos="6237"/>
              </w:tabs>
              <w:jc w:val="both"/>
              <w:rPr>
                <w:sz w:val="12"/>
                <w:szCs w:val="12"/>
              </w:rPr>
            </w:pPr>
            <w:r w:rsidRPr="00AC320A">
              <w:rPr>
                <w:noProof/>
                <w:sz w:val="12"/>
                <w:szCs w:val="12"/>
              </w:rPr>
              <w:lastRenderedPageBreak/>
              <w:pict w14:anchorId="7E8E7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7" type="#_x0000_t75" style="width:179.25pt;height:85.5pt;visibility:visible">
                  <v:imagedata r:id="rId10" o:title=""/>
                </v:shape>
              </w:pict>
            </w:r>
          </w:p>
        </w:tc>
        <w:tc>
          <w:tcPr>
            <w:tcW w:w="719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2CA5" w:rsidRDefault="00582CA5" w:rsidP="00582CA5">
            <w:pPr>
              <w:jc w:val="center"/>
              <w:rPr>
                <w:rFonts w:ascii="Arial Narrow" w:hAnsi="Arial Narrow" w:cs="Arial"/>
                <w:b/>
                <w:color w:val="063968"/>
                <w:sz w:val="16"/>
                <w:szCs w:val="16"/>
                <w:u w:val="single"/>
              </w:rPr>
            </w:pPr>
          </w:p>
          <w:p w:rsidR="00582CA5" w:rsidRPr="004B62E9" w:rsidRDefault="00582CA5" w:rsidP="00582CA5">
            <w:pPr>
              <w:jc w:val="center"/>
              <w:rPr>
                <w:rFonts w:ascii="Arial" w:hAnsi="Arial" w:cs="Arial"/>
                <w:b/>
                <w:color w:val="036694"/>
              </w:rPr>
            </w:pPr>
            <w:r w:rsidRPr="004B62E9">
              <w:rPr>
                <w:rFonts w:ascii="Arial Narrow" w:hAnsi="Arial Narrow" w:cs="Arial"/>
                <w:b/>
                <w:color w:val="063968"/>
                <w:u w:val="single"/>
              </w:rPr>
              <w:t>Président de la CUN-CBG :</w:t>
            </w:r>
            <w:r w:rsidRPr="004B62E9">
              <w:rPr>
                <w:rFonts w:ascii="Arial Narrow" w:hAnsi="Arial Narrow" w:cs="Arial"/>
                <w:b/>
                <w:color w:val="063968"/>
              </w:rPr>
              <w:t xml:space="preserve">    </w:t>
            </w:r>
            <w:r w:rsidRPr="004B62E9">
              <w:rPr>
                <w:rFonts w:ascii="Arial" w:hAnsi="Arial" w:cs="Arial"/>
                <w:b/>
                <w:color w:val="036694"/>
              </w:rPr>
              <w:t>Jean Bernard MOING</w:t>
            </w:r>
            <w:r>
              <w:rPr>
                <w:rFonts w:ascii="Arial" w:hAnsi="Arial" w:cs="Arial"/>
                <w:b/>
                <w:color w:val="036694"/>
              </w:rPr>
              <w:t>S</w:t>
            </w:r>
          </w:p>
          <w:p w:rsidR="00582CA5" w:rsidRPr="004B62E9" w:rsidRDefault="00582CA5" w:rsidP="00582CA5">
            <w:pPr>
              <w:jc w:val="center"/>
              <w:rPr>
                <w:rFonts w:ascii="Arial" w:hAnsi="Arial" w:cs="Arial"/>
                <w:b/>
                <w:color w:val="036694"/>
              </w:rPr>
            </w:pPr>
          </w:p>
          <w:p w:rsidR="00582CA5" w:rsidRPr="004B62E9" w:rsidRDefault="00582CA5" w:rsidP="00582CA5">
            <w:pPr>
              <w:jc w:val="center"/>
              <w:rPr>
                <w:rFonts w:ascii="Arial" w:hAnsi="Arial" w:cs="Arial"/>
                <w:b/>
                <w:color w:val="036694"/>
              </w:rPr>
            </w:pPr>
            <w:r w:rsidRPr="004B62E9">
              <w:rPr>
                <w:rFonts w:ascii="Arial" w:hAnsi="Arial" w:cs="Arial"/>
                <w:b/>
                <w:color w:val="036694"/>
              </w:rPr>
              <w:t xml:space="preserve">Rue de la </w:t>
            </w:r>
            <w:proofErr w:type="spellStart"/>
            <w:r w:rsidRPr="004B62E9">
              <w:rPr>
                <w:rFonts w:ascii="Arial" w:hAnsi="Arial" w:cs="Arial"/>
                <w:b/>
                <w:color w:val="036694"/>
              </w:rPr>
              <w:t>Millette</w:t>
            </w:r>
            <w:proofErr w:type="spellEnd"/>
            <w:r w:rsidRPr="004B62E9">
              <w:rPr>
                <w:rFonts w:ascii="Arial" w:hAnsi="Arial" w:cs="Arial"/>
                <w:b/>
                <w:color w:val="036694"/>
              </w:rPr>
              <w:t xml:space="preserve"> 63210 NEBOUZAT</w:t>
            </w:r>
          </w:p>
          <w:p w:rsidR="00582CA5" w:rsidRDefault="00582CA5" w:rsidP="00582CA5">
            <w:pPr>
              <w:tabs>
                <w:tab w:val="left" w:pos="6237"/>
              </w:tabs>
              <w:rPr>
                <w:rFonts w:ascii="Arial" w:hAnsi="Arial" w:cs="Arial"/>
                <w:b/>
                <w:color w:val="036694"/>
              </w:rPr>
            </w:pPr>
          </w:p>
          <w:p w:rsidR="00582CA5" w:rsidRDefault="00582CA5" w:rsidP="00582CA5">
            <w:pPr>
              <w:tabs>
                <w:tab w:val="left" w:pos="6237"/>
              </w:tabs>
              <w:jc w:val="center"/>
              <w:rPr>
                <w:rFonts w:ascii="Arial Narrow" w:hAnsi="Arial Narrow"/>
                <w:b/>
                <w:color w:val="036694"/>
              </w:rPr>
            </w:pPr>
            <w:r w:rsidRPr="004B62E9">
              <w:rPr>
                <w:b/>
                <w:color w:val="036694"/>
              </w:rPr>
              <w:sym w:font="Wingdings" w:char="F028"/>
            </w:r>
            <w:r w:rsidRPr="004B62E9">
              <w:rPr>
                <w:rFonts w:ascii="Arial Narrow" w:hAnsi="Arial Narrow"/>
                <w:b/>
                <w:color w:val="036694"/>
              </w:rPr>
              <w:t xml:space="preserve"> 04 73 87 17 75 – 06 64 77 10 20</w:t>
            </w:r>
            <w:r w:rsidRPr="004B62E9">
              <w:rPr>
                <w:rFonts w:ascii="Arial Narrow" w:hAnsi="Arial Narrow" w:cs="Arial"/>
                <w:b/>
                <w:color w:val="036694"/>
              </w:rPr>
              <w:t xml:space="preserve">     </w:t>
            </w:r>
            <w:r w:rsidRPr="004B62E9">
              <w:rPr>
                <w:rFonts w:ascii="Arial Narrow" w:hAnsi="Arial Narrow"/>
                <w:b/>
                <w:color w:val="036694"/>
              </w:rPr>
              <w:sym w:font="Wingdings" w:char="F03A"/>
            </w:r>
            <w:r w:rsidRPr="004B62E9">
              <w:rPr>
                <w:rFonts w:ascii="Arial Narrow" w:hAnsi="Arial Narrow"/>
                <w:b/>
                <w:color w:val="036694"/>
              </w:rPr>
              <w:t xml:space="preserve"> </w:t>
            </w:r>
            <w:hyperlink r:id="rId11" w:history="1">
              <w:r w:rsidRPr="00F72C73">
                <w:rPr>
                  <w:rStyle w:val="Lienhypertexte"/>
                  <w:rFonts w:ascii="Arial Narrow" w:hAnsi="Arial Narrow"/>
                  <w:b/>
                </w:rPr>
                <w:t>jbmoings@gmail.com</w:t>
              </w:r>
            </w:hyperlink>
          </w:p>
          <w:p w:rsidR="00582CA5" w:rsidRDefault="00582CA5" w:rsidP="00582CA5">
            <w:pPr>
              <w:tabs>
                <w:tab w:val="left" w:pos="6237"/>
              </w:tabs>
              <w:jc w:val="center"/>
            </w:pPr>
          </w:p>
          <w:p w:rsidR="00582CA5" w:rsidRDefault="00582CA5" w:rsidP="00E63E65">
            <w:pPr>
              <w:jc w:val="center"/>
            </w:pPr>
          </w:p>
        </w:tc>
      </w:tr>
    </w:tbl>
    <w:p w:rsidR="00E63E65" w:rsidRPr="00E63E65" w:rsidRDefault="00E63E65" w:rsidP="00E63E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bookmarkStart w:id="0" w:name="_GoBack"/>
      <w:r w:rsidRPr="00E63E65">
        <w:rPr>
          <w:rFonts w:ascii="Times New Roman" w:hAnsi="Times New Roman" w:cs="Times New Roman"/>
          <w:b/>
          <w:bCs/>
          <w:color w:val="000000" w:themeColor="text1"/>
          <w:sz w:val="28"/>
          <w:highlight w:val="yellow"/>
        </w:rPr>
        <w:t xml:space="preserve">Fiche Prévisionnelle des frais de jury pour un Championnat, ou un Grand prix d’une discipline gérée par la CUN </w:t>
      </w:r>
      <w:proofErr w:type="spellStart"/>
      <w:r w:rsidRPr="00E63E65">
        <w:rPr>
          <w:rFonts w:ascii="Times New Roman" w:hAnsi="Times New Roman" w:cs="Times New Roman"/>
          <w:b/>
          <w:bCs/>
          <w:color w:val="000000" w:themeColor="text1"/>
          <w:sz w:val="28"/>
          <w:highlight w:val="yellow"/>
        </w:rPr>
        <w:t>cbg</w:t>
      </w:r>
      <w:proofErr w:type="spellEnd"/>
    </w:p>
    <w:bookmarkEnd w:id="0"/>
    <w:p w:rsidR="0024738B" w:rsidRPr="0024738B" w:rsidRDefault="0024738B" w:rsidP="005420E1">
      <w:pPr>
        <w:rPr>
          <w:rFonts w:ascii="Times New Roman" w:hAnsi="Times New Roman" w:cs="Times New Roman"/>
          <w:sz w:val="28"/>
        </w:rPr>
      </w:pPr>
    </w:p>
    <w:p w:rsidR="005420E1" w:rsidRPr="0024738B" w:rsidRDefault="005420E1" w:rsidP="005420E1">
      <w:pPr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</w:rPr>
        <w:t xml:space="preserve">Cette fiche doit être remplie par le Groupe Travail concerné et envoyée aux 2 membres du GT Grands Événements : </w:t>
      </w:r>
      <w:hyperlink r:id="rId12" w:history="1">
        <w:r w:rsidRPr="0024738B">
          <w:rPr>
            <w:rStyle w:val="Lienhypertexte"/>
            <w:rFonts w:ascii="Times New Roman" w:hAnsi="Times New Roman" w:cs="Times New Roman"/>
          </w:rPr>
          <w:t>rouillon.pierre@sfr.fr</w:t>
        </w:r>
      </w:hyperlink>
      <w:r w:rsidRPr="0024738B">
        <w:rPr>
          <w:rFonts w:ascii="Times New Roman" w:hAnsi="Times New Roman" w:cs="Times New Roman"/>
        </w:rPr>
        <w:t xml:space="preserve"> et </w:t>
      </w:r>
      <w:hyperlink r:id="rId13" w:history="1">
        <w:r w:rsidRPr="0024738B">
          <w:rPr>
            <w:rStyle w:val="Lienhypertexte"/>
            <w:rFonts w:ascii="Times New Roman" w:hAnsi="Times New Roman" w:cs="Times New Roman"/>
          </w:rPr>
          <w:t>cun.dominiqueandre@outlook.fr</w:t>
        </w:r>
      </w:hyperlink>
      <w:r w:rsidRPr="0024738B">
        <w:rPr>
          <w:rFonts w:ascii="Times New Roman" w:hAnsi="Times New Roman" w:cs="Times New Roman"/>
        </w:rPr>
        <w:t xml:space="preserve"> </w:t>
      </w:r>
    </w:p>
    <w:p w:rsidR="005420E1" w:rsidRPr="0024738B" w:rsidRDefault="005420E1" w:rsidP="005420E1">
      <w:pPr>
        <w:rPr>
          <w:rFonts w:ascii="Times New Roman" w:hAnsi="Times New Roman" w:cs="Times New Roman"/>
          <w:b/>
          <w:bC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420E1" w:rsidRPr="0024738B" w:rsidTr="00DD392D">
        <w:trPr>
          <w:trHeight w:val="454"/>
          <w:jc w:val="center"/>
        </w:trPr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left" w:pos="6272"/>
              </w:tabs>
              <w:rPr>
                <w:rFonts w:ascii="Times New Roman" w:hAnsi="Times New Roman" w:cs="Times New Roman"/>
                <w:b/>
                <w:bCs/>
              </w:rPr>
            </w:pPr>
            <w:r w:rsidRPr="0024738B">
              <w:rPr>
                <w:rFonts w:ascii="Times New Roman" w:hAnsi="Times New Roman" w:cs="Times New Roman"/>
                <w:b/>
                <w:bCs/>
                <w:u w:val="single"/>
              </w:rPr>
              <w:t>DISCIPLINE :</w:t>
            </w:r>
            <w:r w:rsidRPr="0024738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Date :</w:t>
            </w: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b/>
                <w:bCs/>
              </w:rPr>
            </w:pPr>
            <w:r w:rsidRPr="0024738B">
              <w:rPr>
                <w:rFonts w:ascii="Times New Roman" w:hAnsi="Times New Roman" w:cs="Times New Roman"/>
                <w:b/>
                <w:bCs/>
              </w:rPr>
              <w:t>Lieu :</w:t>
            </w: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Association Canine Territoriale de :</w:t>
            </w: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left" w:pos="627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Territoriale ou Club responsable de l’organisation :                                                                                            </w:t>
            </w: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 xml:space="preserve">N° d’IBAN pour le versement de l’acompte </w:t>
            </w:r>
            <w:r w:rsidR="008367D6"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 xml:space="preserve">de 90 % du total </w:t>
            </w: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par la SCC :</w:t>
            </w: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Adresse :</w:t>
            </w:r>
          </w:p>
        </w:tc>
      </w:tr>
      <w:tr w:rsidR="005420E1" w:rsidRPr="0024738B" w:rsidTr="003F6DE1">
        <w:trPr>
          <w:trHeight w:val="127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3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postal :                                 Ville :                                                                                 Tél :</w:t>
            </w:r>
          </w:p>
        </w:tc>
      </w:tr>
    </w:tbl>
    <w:p w:rsidR="005420E1" w:rsidRPr="0024738B" w:rsidRDefault="005420E1" w:rsidP="005420E1">
      <w:pPr>
        <w:rPr>
          <w:rFonts w:ascii="Times New Roman" w:hAnsi="Times New Roman" w:cs="Times New Roman"/>
          <w:sz w:val="18"/>
          <w:szCs w:val="18"/>
        </w:rPr>
      </w:pPr>
    </w:p>
    <w:p w:rsidR="005420E1" w:rsidRPr="0024738B" w:rsidRDefault="005420E1" w:rsidP="005420E1">
      <w:pPr>
        <w:rPr>
          <w:rFonts w:ascii="Times New Roman" w:hAnsi="Times New Roman" w:cs="Times New Roman"/>
        </w:rPr>
      </w:pPr>
      <w:r w:rsidRPr="0024738B">
        <w:rPr>
          <w:rFonts w:ascii="Times New Roman" w:hAnsi="Times New Roman" w:cs="Times New Roman"/>
          <w:highlight w:val="yellow"/>
        </w:rPr>
        <w:t>Pour remplir le tableau ci-dessous, voir la procédure sur la 1</w:t>
      </w:r>
      <w:r w:rsidRPr="0024738B">
        <w:rPr>
          <w:rFonts w:ascii="Times New Roman" w:hAnsi="Times New Roman" w:cs="Times New Roman"/>
          <w:highlight w:val="yellow"/>
          <w:vertAlign w:val="superscript"/>
        </w:rPr>
        <w:t>ère</w:t>
      </w:r>
      <w:r w:rsidRPr="0024738B">
        <w:rPr>
          <w:rFonts w:ascii="Times New Roman" w:hAnsi="Times New Roman" w:cs="Times New Roman"/>
          <w:highlight w:val="yellow"/>
        </w:rPr>
        <w:t xml:space="preserve"> page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814"/>
        <w:gridCol w:w="1814"/>
        <w:gridCol w:w="1814"/>
        <w:gridCol w:w="1814"/>
      </w:tblGrid>
      <w:tr w:rsidR="005420E1" w:rsidRPr="0024738B" w:rsidTr="00DD392D">
        <w:trPr>
          <w:trHeight w:val="454"/>
          <w:jc w:val="center"/>
        </w:trPr>
        <w:tc>
          <w:tcPr>
            <w:tcW w:w="3517" w:type="dxa"/>
            <w:shd w:val="clear" w:color="auto" w:fill="auto"/>
          </w:tcPr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Nom des</w:t>
            </w:r>
          </w:p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Juges et Hommes assistants</w:t>
            </w:r>
          </w:p>
        </w:tc>
        <w:tc>
          <w:tcPr>
            <w:tcW w:w="1814" w:type="dxa"/>
            <w:shd w:val="clear" w:color="auto" w:fill="auto"/>
          </w:tcPr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Km aller/retour</w:t>
            </w:r>
          </w:p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Référence Mappy</w:t>
            </w:r>
          </w:p>
        </w:tc>
        <w:tc>
          <w:tcPr>
            <w:tcW w:w="1814" w:type="dxa"/>
            <w:shd w:val="clear" w:color="auto" w:fill="auto"/>
          </w:tcPr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Avion</w:t>
            </w:r>
          </w:p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Autres</w:t>
            </w:r>
          </w:p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5420E1" w:rsidRPr="0024738B" w:rsidRDefault="005420E1" w:rsidP="00DD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8B">
              <w:rPr>
                <w:rFonts w:ascii="Times New Roman" w:hAnsi="Times New Roman" w:cs="Times New Roman"/>
                <w:b/>
                <w:sz w:val="20"/>
                <w:szCs w:val="20"/>
              </w:rPr>
              <w:t>Montant par personne</w:t>
            </w: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4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4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5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3F6D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3F6DE1" w:rsidRPr="0024738B" w:rsidRDefault="003F6D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6DE1" w:rsidRPr="0024738B" w:rsidRDefault="003F6D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6DE1" w:rsidRPr="0024738B" w:rsidRDefault="003F6D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6DE1" w:rsidRPr="0024738B" w:rsidRDefault="003F6D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6DE1" w:rsidRPr="0024738B" w:rsidRDefault="003F6D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397"/>
          <w:jc w:val="center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826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  <w:tr w:rsidR="005420E1" w:rsidRPr="0024738B" w:rsidTr="00DD392D">
        <w:trPr>
          <w:trHeight w:val="454"/>
          <w:jc w:val="center"/>
        </w:trPr>
        <w:tc>
          <w:tcPr>
            <w:tcW w:w="35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20E1" w:rsidRPr="0024738B" w:rsidRDefault="005420E1" w:rsidP="00DD39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38B">
              <w:rPr>
                <w:rFonts w:ascii="Times New Roman" w:hAnsi="Times New Roman" w:cs="Times New Roman"/>
                <w:b/>
                <w:sz w:val="22"/>
                <w:szCs w:val="22"/>
              </w:rPr>
              <w:t>Total général 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20E1" w:rsidRPr="0024738B" w:rsidRDefault="005420E1" w:rsidP="00DD392D">
            <w:pPr>
              <w:tabs>
                <w:tab w:val="decimal" w:pos="1684"/>
              </w:tabs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420E1" w:rsidRPr="0024738B" w:rsidRDefault="005420E1" w:rsidP="005420E1">
      <w:pPr>
        <w:tabs>
          <w:tab w:val="left" w:pos="5387"/>
        </w:tabs>
        <w:rPr>
          <w:rFonts w:ascii="Times New Roman" w:hAnsi="Times New Roman" w:cs="Times New Roman"/>
          <w:b/>
          <w:szCs w:val="18"/>
          <w:u w:val="single"/>
        </w:rPr>
      </w:pPr>
    </w:p>
    <w:p w:rsidR="005420E1" w:rsidRPr="0024738B" w:rsidRDefault="0024738B" w:rsidP="005420E1">
      <w:pPr>
        <w:tabs>
          <w:tab w:val="left" w:pos="5387"/>
        </w:tabs>
        <w:rPr>
          <w:rFonts w:ascii="Times New Roman" w:hAnsi="Times New Roman" w:cs="Times New Roman"/>
          <w:bCs/>
        </w:rPr>
      </w:pPr>
      <w:r w:rsidRPr="0024738B">
        <w:rPr>
          <w:rFonts w:ascii="Times New Roman" w:hAnsi="Times New Roman" w:cs="Times New Roman"/>
          <w:bCs/>
          <w:u w:val="single"/>
        </w:rPr>
        <w:t xml:space="preserve">- </w:t>
      </w:r>
      <w:r w:rsidR="005420E1" w:rsidRPr="0024738B">
        <w:rPr>
          <w:rFonts w:ascii="Times New Roman" w:hAnsi="Times New Roman" w:cs="Times New Roman"/>
          <w:bCs/>
          <w:u w:val="single"/>
        </w:rPr>
        <w:t>Date et nom du responsable du GT concerné pour l’envoi au GT Grands Événements :</w:t>
      </w:r>
      <w:r w:rsidR="005420E1" w:rsidRPr="0024738B">
        <w:rPr>
          <w:rFonts w:ascii="Times New Roman" w:hAnsi="Times New Roman" w:cs="Times New Roman"/>
          <w:bCs/>
        </w:rPr>
        <w:tab/>
      </w:r>
    </w:p>
    <w:p w:rsidR="00394B73" w:rsidRDefault="00394B73" w:rsidP="005420E1">
      <w:pPr>
        <w:tabs>
          <w:tab w:val="left" w:pos="5387"/>
        </w:tabs>
        <w:rPr>
          <w:rFonts w:ascii="Times New Roman" w:hAnsi="Times New Roman" w:cs="Times New Roman"/>
          <w:bCs/>
        </w:rPr>
      </w:pPr>
    </w:p>
    <w:p w:rsidR="005420E1" w:rsidRPr="0024738B" w:rsidRDefault="005420E1" w:rsidP="005420E1">
      <w:pPr>
        <w:tabs>
          <w:tab w:val="left" w:pos="5387"/>
        </w:tabs>
        <w:rPr>
          <w:rFonts w:ascii="Times New Roman" w:hAnsi="Times New Roman" w:cs="Times New Roman"/>
          <w:bCs/>
          <w:u w:val="single"/>
        </w:rPr>
      </w:pPr>
      <w:r w:rsidRPr="0024738B">
        <w:rPr>
          <w:rFonts w:ascii="Times New Roman" w:hAnsi="Times New Roman" w:cs="Times New Roman"/>
          <w:bCs/>
        </w:rPr>
        <w:tab/>
      </w:r>
    </w:p>
    <w:p w:rsidR="005420E1" w:rsidRPr="0024738B" w:rsidRDefault="0024738B" w:rsidP="005420E1">
      <w:pPr>
        <w:rPr>
          <w:rFonts w:ascii="Times New Roman" w:hAnsi="Times New Roman" w:cs="Times New Roman"/>
          <w:bCs/>
          <w:u w:val="single"/>
        </w:rPr>
      </w:pPr>
      <w:r w:rsidRPr="0024738B">
        <w:rPr>
          <w:rFonts w:ascii="Times New Roman" w:hAnsi="Times New Roman" w:cs="Times New Roman"/>
          <w:bCs/>
          <w:u w:val="single"/>
        </w:rPr>
        <w:t xml:space="preserve">- </w:t>
      </w:r>
      <w:r w:rsidR="005420E1" w:rsidRPr="0024738B">
        <w:rPr>
          <w:rFonts w:ascii="Times New Roman" w:hAnsi="Times New Roman" w:cs="Times New Roman"/>
          <w:bCs/>
          <w:u w:val="single"/>
        </w:rPr>
        <w:t>Date et nom de la personne du GT Grands Événements pour l’envoi au président de CUN cbg :</w:t>
      </w:r>
    </w:p>
    <w:p w:rsidR="005420E1" w:rsidRPr="0024738B" w:rsidRDefault="005420E1" w:rsidP="005420E1">
      <w:pPr>
        <w:rPr>
          <w:rFonts w:ascii="Times New Roman" w:hAnsi="Times New Roman" w:cs="Times New Roman"/>
          <w:bCs/>
          <w:u w:val="single"/>
        </w:rPr>
      </w:pPr>
    </w:p>
    <w:p w:rsidR="005420E1" w:rsidRPr="0024738B" w:rsidRDefault="005420E1" w:rsidP="005420E1">
      <w:pPr>
        <w:rPr>
          <w:rFonts w:ascii="Times New Roman" w:hAnsi="Times New Roman" w:cs="Times New Roman"/>
          <w:bCs/>
          <w:u w:val="single"/>
        </w:rPr>
      </w:pPr>
    </w:p>
    <w:p w:rsidR="005420E1" w:rsidRPr="005420E1" w:rsidRDefault="0024738B" w:rsidP="0024738B">
      <w:pPr>
        <w:rPr>
          <w:rFonts w:ascii="Times New Roman" w:hAnsi="Times New Roman" w:cs="Times New Roman"/>
          <w:sz w:val="28"/>
          <w:szCs w:val="28"/>
        </w:rPr>
      </w:pPr>
      <w:r w:rsidRPr="0024738B">
        <w:rPr>
          <w:rFonts w:ascii="Times New Roman" w:hAnsi="Times New Roman" w:cs="Times New Roman"/>
          <w:bCs/>
          <w:u w:val="single"/>
        </w:rPr>
        <w:t xml:space="preserve">- </w:t>
      </w:r>
      <w:r w:rsidR="005420E1" w:rsidRPr="0024738B">
        <w:rPr>
          <w:rFonts w:ascii="Times New Roman" w:hAnsi="Times New Roman" w:cs="Times New Roman"/>
          <w:bCs/>
          <w:u w:val="single"/>
        </w:rPr>
        <w:t>Date et visa du Président de CUN cbg</w:t>
      </w:r>
      <w:r w:rsidR="005420E1" w:rsidRPr="005420E1">
        <w:rPr>
          <w:rFonts w:ascii="Times New Roman" w:hAnsi="Times New Roman" w:cs="Times New Roman"/>
          <w:bCs/>
          <w:u w:val="single"/>
        </w:rPr>
        <w:t xml:space="preserve">, pour l’envoi à la comptabilité de la SCC </w:t>
      </w:r>
      <w:r w:rsidR="005420E1">
        <w:rPr>
          <w:rFonts w:ascii="Times New Roman" w:hAnsi="Times New Roman" w:cs="Times New Roman"/>
          <w:bCs/>
          <w:u w:val="single"/>
        </w:rPr>
        <w:t>1 mois</w:t>
      </w:r>
      <w:r w:rsidR="005420E1" w:rsidRPr="005420E1">
        <w:rPr>
          <w:rFonts w:ascii="Times New Roman" w:hAnsi="Times New Roman" w:cs="Times New Roman"/>
          <w:bCs/>
          <w:u w:val="single"/>
        </w:rPr>
        <w:t xml:space="preserve"> avant l’événement :</w:t>
      </w:r>
      <w:r w:rsidRPr="005420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20E1" w:rsidRPr="005420E1" w:rsidSect="005420E1">
      <w:footerReference w:type="even" r:id="rId14"/>
      <w:footerReference w:type="default" r:id="rId15"/>
      <w:pgSz w:w="11900" w:h="16840"/>
      <w:pgMar w:top="284" w:right="851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A" w:rsidRDefault="004858AA" w:rsidP="005420E1">
      <w:r>
        <w:separator/>
      </w:r>
    </w:p>
  </w:endnote>
  <w:endnote w:type="continuationSeparator" w:id="0">
    <w:p w:rsidR="004858AA" w:rsidRDefault="004858AA" w:rsidP="0054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7308448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420E1" w:rsidRDefault="005420E1" w:rsidP="00A76D9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420E1" w:rsidRDefault="005420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19511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420E1" w:rsidRDefault="005420E1" w:rsidP="00A76D9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63E6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5420E1" w:rsidRDefault="00542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A" w:rsidRDefault="004858AA" w:rsidP="005420E1">
      <w:r>
        <w:separator/>
      </w:r>
    </w:p>
  </w:footnote>
  <w:footnote w:type="continuationSeparator" w:id="0">
    <w:p w:rsidR="004858AA" w:rsidRDefault="004858AA" w:rsidP="0054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F"/>
    <w:rsid w:val="0003298E"/>
    <w:rsid w:val="000B77B3"/>
    <w:rsid w:val="00141850"/>
    <w:rsid w:val="00173F70"/>
    <w:rsid w:val="001764EF"/>
    <w:rsid w:val="001E593E"/>
    <w:rsid w:val="0024738B"/>
    <w:rsid w:val="00326B78"/>
    <w:rsid w:val="00394B73"/>
    <w:rsid w:val="003F6DE1"/>
    <w:rsid w:val="004858AA"/>
    <w:rsid w:val="0051722A"/>
    <w:rsid w:val="005420E1"/>
    <w:rsid w:val="00582CA5"/>
    <w:rsid w:val="005B0679"/>
    <w:rsid w:val="00710A77"/>
    <w:rsid w:val="00727BFE"/>
    <w:rsid w:val="00790C3B"/>
    <w:rsid w:val="0082034D"/>
    <w:rsid w:val="008367D6"/>
    <w:rsid w:val="00861E7E"/>
    <w:rsid w:val="00902DFC"/>
    <w:rsid w:val="00935D99"/>
    <w:rsid w:val="009871FD"/>
    <w:rsid w:val="00A16D23"/>
    <w:rsid w:val="00AF46D2"/>
    <w:rsid w:val="00B23817"/>
    <w:rsid w:val="00BF60B3"/>
    <w:rsid w:val="00DA06A7"/>
    <w:rsid w:val="00DC7FBF"/>
    <w:rsid w:val="00E565B7"/>
    <w:rsid w:val="00E63E65"/>
    <w:rsid w:val="00E96D3D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2D42"/>
  <w15:chartTrackingRefBased/>
  <w15:docId w15:val="{2B567B38-6C63-4741-A281-630CD28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7B3"/>
    <w:pPr>
      <w:ind w:left="720"/>
      <w:contextualSpacing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81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817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nhideWhenUsed/>
    <w:rsid w:val="00B2381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38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2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0E1"/>
  </w:style>
  <w:style w:type="paragraph" w:styleId="Pieddepage">
    <w:name w:val="footer"/>
    <w:basedOn w:val="Normal"/>
    <w:link w:val="PieddepageCar"/>
    <w:uiPriority w:val="99"/>
    <w:unhideWhenUsed/>
    <w:rsid w:val="00542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0E1"/>
  </w:style>
  <w:style w:type="character" w:styleId="Numrodepage">
    <w:name w:val="page number"/>
    <w:basedOn w:val="Policepardfaut"/>
    <w:uiPriority w:val="99"/>
    <w:semiHidden/>
    <w:unhideWhenUsed/>
    <w:rsid w:val="005420E1"/>
  </w:style>
  <w:style w:type="paragraph" w:customStyle="1" w:styleId="DfxSubject">
    <w:name w:val="DfxSubject"/>
    <w:basedOn w:val="Normal"/>
    <w:rsid w:val="0024738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illon.pierre@sfr.fr" TargetMode="External"/><Relationship Id="rId13" Type="http://schemas.openxmlformats.org/officeDocument/2006/relationships/hyperlink" Target="mailto:cun.dominiqueandre@outlook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moings@gmail.com" TargetMode="External"/><Relationship Id="rId12" Type="http://schemas.openxmlformats.org/officeDocument/2006/relationships/hyperlink" Target="mailto:rouillon.pierre@sfr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bmoing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cun.dominiqueandre@outlook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MONTENOISE</dc:creator>
  <cp:keywords/>
  <dc:description/>
  <cp:lastModifiedBy>jean-claude.delpech@orange.fr</cp:lastModifiedBy>
  <cp:revision>3</cp:revision>
  <dcterms:created xsi:type="dcterms:W3CDTF">2020-06-30T07:01:00Z</dcterms:created>
  <dcterms:modified xsi:type="dcterms:W3CDTF">2020-06-30T07:05:00Z</dcterms:modified>
</cp:coreProperties>
</file>